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КОНСАЛТИНГОВОЕ БЮРО "ТРИКСТАР"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4705121474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1244700033544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+7 960 239-36-26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khanygin@mail.ru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